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广东培正学院</w:t>
      </w:r>
      <w:r>
        <w:rPr>
          <w:rFonts w:hint="eastAsia" w:ascii="方正小标宋简体" w:hAnsi="宋体" w:eastAsia="方正小标宋简体"/>
          <w:b/>
          <w:sz w:val="44"/>
          <w:szCs w:val="44"/>
        </w:rPr>
        <w:t>关于2019—2020学年第一学期</w:t>
      </w:r>
    </w:p>
    <w:p>
      <w:pPr>
        <w:spacing w:line="82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转专业学生名单的公示</w:t>
      </w:r>
    </w:p>
    <w:p>
      <w:pPr>
        <w:spacing w:line="52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52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学校各部门：</w:t>
      </w:r>
    </w:p>
    <w:p>
      <w:pPr>
        <w:spacing w:after="0" w:afterLines="0" w:line="520" w:lineRule="exact"/>
        <w:ind w:firstLine="640" w:firstLineChars="200"/>
        <w:rPr>
          <w:rFonts w:hint="eastAsia"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根据教育部《普通高等学校学生管理规定》和《广东培正学院普通本科生转专业管理规定》文件要求，教务处根据各学院提供的相关资料汇总后，经2019年11月29日校长办公会议讨论通过，拟同意张依漫等65名学生转专业申请，现将名单公示</w:t>
      </w:r>
      <w:r>
        <w:rPr>
          <w:rFonts w:hint="eastAsia" w:ascii="仿宋_GB2312" w:hAnsi="宋体" w:eastAsia="仿宋_GB2312"/>
          <w:dstrike w:val="0"/>
          <w:color w:val="000000"/>
          <w:sz w:val="32"/>
          <w:szCs w:val="32"/>
        </w:rPr>
        <w:t>（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名单详见附件）。</w:t>
      </w:r>
    </w:p>
    <w:p>
      <w:pPr>
        <w:spacing w:after="0" w:afterLines="0" w:line="520" w:lineRule="exact"/>
        <w:ind w:firstLine="656" w:firstLineChars="200"/>
        <w:rPr>
          <w:rFonts w:hint="eastAsia" w:ascii="仿宋_GB2312" w:hAnsi="宋体" w:eastAsia="仿宋_GB2312"/>
          <w:spacing w:val="4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pacing w:val="4"/>
          <w:sz w:val="32"/>
          <w:szCs w:val="32"/>
        </w:rPr>
        <w:t>此公示名单同时上传“广东培正学院教务处网站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fldChar w:fldCharType="begin"/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instrText xml:space="preserve">HYPERLINK "http://jwc.peizheng.net.cn/Index.asp"</w:instrTex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color w:val="000000"/>
          <w:spacing w:val="4"/>
          <w:sz w:val="32"/>
          <w:szCs w:val="32"/>
        </w:rPr>
        <w:t>http://pzjwc.peizheng.net.cn/in</w:t>
      </w:r>
      <w:bookmarkStart w:id="0" w:name="_Hlt27122173"/>
      <w:r>
        <w:rPr>
          <w:rFonts w:hint="eastAsia" w:ascii="仿宋_GB2312" w:hAnsi="宋体" w:eastAsia="仿宋_GB2312"/>
          <w:color w:val="000000"/>
          <w:spacing w:val="4"/>
          <w:sz w:val="32"/>
          <w:szCs w:val="32"/>
        </w:rPr>
        <w:t>d</w:t>
      </w:r>
      <w:bookmarkEnd w:id="0"/>
      <w:r>
        <w:rPr>
          <w:rFonts w:hint="eastAsia" w:ascii="仿宋_GB2312" w:hAnsi="宋体" w:eastAsia="仿宋_GB2312"/>
          <w:color w:val="000000"/>
          <w:spacing w:val="4"/>
          <w:sz w:val="32"/>
          <w:szCs w:val="32"/>
        </w:rPr>
        <w:t>ex.asp”。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公示期为5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spacing w:val="4"/>
          <w:sz w:val="32"/>
          <w:szCs w:val="32"/>
        </w:rPr>
        <w:t>天（</w:t>
      </w:r>
      <w:r>
        <w:rPr>
          <w:rFonts w:ascii="仿宋_GB2312" w:hAnsi="宋体" w:eastAsia="仿宋_GB2312"/>
          <w:spacing w:val="4"/>
          <w:sz w:val="32"/>
          <w:szCs w:val="32"/>
        </w:rPr>
        <w:t>201</w:t>
      </w:r>
      <w:r>
        <w:rPr>
          <w:rFonts w:hint="eastAsia" w:ascii="仿宋_GB2312" w:hAnsi="宋体" w:eastAsia="仿宋_GB2312"/>
          <w:spacing w:val="4"/>
          <w:sz w:val="32"/>
          <w:szCs w:val="32"/>
        </w:rPr>
        <w:t>9年12月11～15日），公示期内如有异议请联系教务处学籍科，电话：020-</w:t>
      </w:r>
      <w:r>
        <w:rPr>
          <w:rFonts w:ascii="仿宋_GB2312" w:hAnsi="宋体" w:eastAsia="仿宋_GB2312"/>
          <w:spacing w:val="4"/>
          <w:sz w:val="32"/>
          <w:szCs w:val="32"/>
        </w:rPr>
        <w:t>86711899</w:t>
      </w:r>
      <w:r>
        <w:rPr>
          <w:rFonts w:hint="eastAsia" w:ascii="仿宋_GB2312" w:hAnsi="宋体" w:eastAsia="仿宋_GB2312"/>
          <w:spacing w:val="4"/>
          <w:sz w:val="32"/>
          <w:szCs w:val="32"/>
        </w:rPr>
        <w:t>。</w:t>
      </w:r>
    </w:p>
    <w:p>
      <w:pPr>
        <w:spacing w:after="0" w:afterLines="0" w:line="520" w:lineRule="exact"/>
        <w:ind w:firstLine="656" w:firstLineChars="200"/>
        <w:rPr>
          <w:rFonts w:hint="eastAsia" w:ascii="仿宋_GB2312" w:hAnsi="宋体" w:eastAsia="仿宋_GB2312"/>
          <w:spacing w:val="4"/>
          <w:sz w:val="32"/>
          <w:szCs w:val="32"/>
        </w:rPr>
      </w:pPr>
    </w:p>
    <w:p>
      <w:pPr>
        <w:spacing w:after="0" w:afterLines="0" w:line="520" w:lineRule="exact"/>
        <w:ind w:firstLine="656" w:firstLineChars="200"/>
        <w:rPr>
          <w:rFonts w:hint="eastAsia" w:ascii="仿宋_GB2312" w:hAnsi="宋体" w:eastAsia="仿宋_GB2312"/>
          <w:spacing w:val="4"/>
          <w:sz w:val="32"/>
          <w:szCs w:val="32"/>
        </w:rPr>
      </w:pPr>
      <w:r>
        <w:rPr>
          <w:rFonts w:hint="eastAsia" w:ascii="仿宋_GB2312" w:hAnsi="宋体" w:eastAsia="仿宋_GB2312"/>
          <w:spacing w:val="4"/>
          <w:sz w:val="32"/>
          <w:szCs w:val="32"/>
        </w:rPr>
        <w:t>附件：</w:t>
      </w:r>
      <w:r>
        <w:rPr>
          <w:rFonts w:hint="eastAsia" w:ascii="仿宋_GB2312" w:hAnsi="宋体" w:eastAsia="仿宋_GB2312"/>
          <w:b w:val="0"/>
          <w:spacing w:val="4"/>
          <w:sz w:val="32"/>
          <w:szCs w:val="32"/>
        </w:rPr>
        <w:t>2019—2020学年第一学期转专业学生名单</w:t>
      </w:r>
    </w:p>
    <w:p>
      <w:pPr>
        <w:spacing w:after="0" w:afterLines="0"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>
      <w:pPr>
        <w:spacing w:after="0" w:afterLines="0"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40" w:lineRule="exact"/>
        <w:ind w:firstLine="5440" w:firstLineChars="1700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广东培正学院</w:t>
      </w:r>
    </w:p>
    <w:p>
      <w:pPr>
        <w:tabs>
          <w:tab w:val="left" w:pos="7437"/>
          <w:tab w:val="left" w:pos="7638"/>
          <w:tab w:val="left" w:pos="7938"/>
        </w:tabs>
        <w:spacing w:line="540" w:lineRule="exact"/>
        <w:ind w:firstLine="5100" w:firstLineChars="1594"/>
        <w:contextualSpacing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2019年12月11日</w:t>
      </w:r>
    </w:p>
    <w:p>
      <w:pPr>
        <w:spacing w:line="560" w:lineRule="exact"/>
        <w:jc w:val="left"/>
        <w:rPr>
          <w:rFonts w:ascii="仿宋_GB2312" w:hAnsi="宋体" w:eastAsia="仿宋_GB2312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701" w:right="1474" w:bottom="1191" w:left="1588" w:header="1701" w:footer="1191" w:gutter="0"/>
          <w:pgNumType w:fmt="numberInDash"/>
          <w:cols w:space="720" w:num="1"/>
          <w:docGrid w:type="lines" w:linePitch="312" w:charSpace="0"/>
        </w:sectPr>
      </w:pPr>
    </w:p>
    <w:p>
      <w:pPr>
        <w:spacing w:after="0" w:afterLines="0" w:line="560" w:lineRule="exact"/>
        <w:ind w:firstLine="0" w:firstLineChars="0"/>
        <w:jc w:val="lef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</w:p>
    <w:p>
      <w:pPr>
        <w:spacing w:before="156" w:beforeLines="50" w:after="156" w:afterLines="50" w:line="560" w:lineRule="exact"/>
        <w:ind w:firstLine="658" w:firstLineChars="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pacing w:val="4"/>
          <w:sz w:val="44"/>
          <w:szCs w:val="44"/>
        </w:rPr>
        <w:t>2019—2020学年第一学期转专业学生名单</w:t>
      </w:r>
    </w:p>
    <w:tbl>
      <w:tblPr>
        <w:tblStyle w:val="4"/>
        <w:tblW w:w="9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"/>
        <w:gridCol w:w="1093"/>
        <w:gridCol w:w="1693"/>
        <w:gridCol w:w="1904"/>
        <w:gridCol w:w="549"/>
        <w:gridCol w:w="916"/>
        <w:gridCol w:w="1701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  <w:t>序</w:t>
            </w:r>
          </w:p>
          <w:p>
            <w:pPr>
              <w:spacing w:line="480" w:lineRule="exact"/>
              <w:jc w:val="center"/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  <w:t>号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  <w:t>学号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  <w:t>申请转入专业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7236"/>
                <w:tab w:val="left" w:pos="7437"/>
                <w:tab w:val="left" w:pos="7638"/>
                <w:tab w:val="left" w:pos="7839"/>
                <w:tab w:val="left" w:pos="8040"/>
                <w:tab w:val="left" w:pos="8241"/>
              </w:tabs>
              <w:spacing w:line="480" w:lineRule="exact"/>
              <w:jc w:val="center"/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spacing w:val="-17"/>
                <w:sz w:val="21"/>
                <w:szCs w:val="21"/>
              </w:rPr>
              <w:t>序号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  <w:t>学号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1"/>
                <w:szCs w:val="21"/>
              </w:rPr>
              <w:t>申请转入专业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张依漫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20195120601022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人力资源管理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34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卓旭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20195130505057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环境设计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张涛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20195120601019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人力资源管理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黄烁腾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20195130507021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视觉传达设计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卢惠琳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20195120210035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人力资源管理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36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陈永权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20195120201022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计算机科学与技术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蔡钰涵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20195120601038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电子商务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37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葛杭柯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20195120902033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计算机科学与技术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陈玉媚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20195071202046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酒店管理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38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黎少贤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20195080901176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数字媒体技术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6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陈艳婷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20195120403006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国际经济与贸易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39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罗佳敏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20195020401071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数字媒体技术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7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尤家瑜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20195120201047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国际经济与贸易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马静丽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20195120202005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数字媒体技术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8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邓奕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20195071102079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国际经济与贸易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41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张世龙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201851701367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网络工程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9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李沁谣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20195120902048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金融工程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42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张灿生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20195020302026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网络工程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10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芦欣欣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20195120403005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金融工程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43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刘嘉欣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20195120403011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软件工程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11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高文杰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20195120402002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应用统计学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44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曹劲伟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20195120202004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软件工程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12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黄月冰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20195120202051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会计学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李颖恩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20195120202136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13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雷梓芸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20195020302130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会计学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46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张妙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20195120403053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14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刘蔓馨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20195120202057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会计学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47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曾嘉怡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20195020302129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15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张远静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20195120601020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会计学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48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曹乐儿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20195120601064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16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陈慧华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20195120403001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会计学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49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贺艳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20195120202071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17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黎子静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20195120902040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财务管理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冼汶慧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20195050107053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18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周海盈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20195120202128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审计学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51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张萱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201851208039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日语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19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黄美琪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20195120202040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审计学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52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徐子涵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20195120202056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日语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20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梁亮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201851302104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广告学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53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冯海文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20195071102039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日语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21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邓子龙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201851701368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54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宋洁莹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20195120202104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日语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22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庾森林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201852302127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杨洋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20195120202069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23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符雅惠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20195020401122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56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陈灵灵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20195020102045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24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王谊晨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20195050262188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57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孙惠晗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20195120202122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25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陈润姿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20195050207095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58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江正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20195120206128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26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戴静婷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20195071102254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59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黄舒敏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20195120902023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27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赵千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20195050207111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60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黄宗瑶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20195120902021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西班牙语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28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黄卓辉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20195020302071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61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方绮灵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20195120402039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西班牙语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29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潘瑞爽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20195020401117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62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曾颖妍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20195120202100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翻译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30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何月儿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20195120403026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63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苏南文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20195020304050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翻译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31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赵文汉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20195120403024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法学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64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刘隆俊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201751212022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会计学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32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林汉明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20195120601044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劳动与社会保障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65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龙泳树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201651812035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环境设计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hAnsi="仿宋" w:eastAsia="仿宋_GB2312"/>
                <w:bCs/>
                <w:sz w:val="21"/>
                <w:szCs w:val="21"/>
              </w:rPr>
              <w:t>33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周景秋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20195130505007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绘画</w:t>
            </w:r>
          </w:p>
        </w:tc>
        <w:tc>
          <w:tcPr>
            <w:tcW w:w="54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_GB2312" w:hAnsi="仿宋" w:eastAsia="仿宋_GB2312"/>
                <w:bCs/>
                <w:sz w:val="21"/>
                <w:szCs w:val="21"/>
              </w:rPr>
            </w:pPr>
          </w:p>
        </w:tc>
      </w:tr>
    </w:tbl>
    <w:p>
      <w:bookmarkStart w:id="1" w:name="_GoBack"/>
      <w:bookmarkEnd w:id="1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rFonts w:hint="eastAsia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210" w:leftChars="100"/>
    </w:pPr>
    <w: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fldChar w:fldCharType="separate"/>
    </w:r>
    <w:r>
      <w:rPr>
        <w:rStyle w:val="6"/>
        <w:rFonts w:ascii="宋体" w:hAnsi="宋体"/>
        <w:sz w:val="28"/>
        <w:szCs w:val="28"/>
      </w:rPr>
      <w:t>- 2 -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rFonts w:hint="eastAsia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DE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样式27"/>
    <w:basedOn w:val="8"/>
    <w:qFormat/>
    <w:uiPriority w:val="0"/>
    <w:pPr>
      <w:tabs>
        <w:tab w:val="center" w:pos="4153"/>
        <w:tab w:val="right" w:pos="8306"/>
      </w:tabs>
    </w:pPr>
  </w:style>
  <w:style w:type="paragraph" w:customStyle="1" w:styleId="8">
    <w:name w:val="样式22"/>
    <w:basedOn w:val="9"/>
    <w:qFormat/>
    <w:uiPriority w:val="0"/>
    <w:pPr>
      <w:tabs>
        <w:tab w:val="center" w:pos="4153"/>
        <w:tab w:val="right" w:pos="8306"/>
      </w:tabs>
    </w:pPr>
  </w:style>
  <w:style w:type="paragraph" w:customStyle="1" w:styleId="9">
    <w:name w:val="样式21"/>
    <w:basedOn w:val="10"/>
    <w:qFormat/>
    <w:uiPriority w:val="0"/>
    <w:pPr>
      <w:pBdr>
        <w:bottom w:val="thinThickSmallGap" w:color="C00000" w:sz="18" w:space="0"/>
      </w:pBdr>
      <w:tabs>
        <w:tab w:val="center" w:pos="4153"/>
        <w:tab w:val="right" w:pos="8306"/>
      </w:tabs>
    </w:pPr>
  </w:style>
  <w:style w:type="paragraph" w:customStyle="1" w:styleId="10">
    <w:name w:val="样式20"/>
    <w:basedOn w:val="11"/>
    <w:qFormat/>
    <w:uiPriority w:val="0"/>
    <w:pPr>
      <w:tabs>
        <w:tab w:val="center" w:pos="4153"/>
        <w:tab w:val="right" w:pos="8306"/>
      </w:tabs>
    </w:pPr>
  </w:style>
  <w:style w:type="paragraph" w:customStyle="1" w:styleId="11">
    <w:name w:val="样式18"/>
    <w:basedOn w:val="12"/>
    <w:qFormat/>
    <w:uiPriority w:val="0"/>
    <w:pPr>
      <w:pBdr>
        <w:bottom w:val="thinThickSmallGap" w:color="C00000" w:sz="24" w:space="0"/>
      </w:pBdr>
      <w:tabs>
        <w:tab w:val="center" w:pos="4153"/>
        <w:tab w:val="right" w:pos="8306"/>
      </w:tabs>
    </w:pPr>
  </w:style>
  <w:style w:type="paragraph" w:customStyle="1" w:styleId="12">
    <w:name w:val="样式14"/>
    <w:basedOn w:val="13"/>
    <w:qFormat/>
    <w:uiPriority w:val="0"/>
    <w:pPr>
      <w:tabs>
        <w:tab w:val="center" w:pos="4153"/>
        <w:tab w:val="right" w:pos="8306"/>
      </w:tabs>
      <w:spacing w:after="0" w:afterLines="0"/>
    </w:pPr>
  </w:style>
  <w:style w:type="paragraph" w:customStyle="1" w:styleId="13">
    <w:name w:val="样式4"/>
    <w:basedOn w:val="3"/>
    <w:qFormat/>
    <w:uiPriority w:val="0"/>
    <w:pPr>
      <w:pBdr>
        <w:bottom w:val="thinThickSmallGap" w:color="C00000" w:sz="24" w:space="1"/>
      </w:pBdr>
      <w:spacing w:after="144" w:afterLines="60" w:line="1180" w:lineRule="exact"/>
    </w:pPr>
    <w:rPr>
      <w:rFonts w:ascii="方正小标宋简体" w:eastAsia="方正小标宋简体"/>
      <w:color w:val="FF0000"/>
      <w:sz w:val="108"/>
      <w:szCs w:val="108"/>
    </w:rPr>
  </w:style>
  <w:style w:type="paragraph" w:customStyle="1" w:styleId="14">
    <w:name w:val="样式29"/>
    <w:basedOn w:val="2"/>
    <w:qFormat/>
    <w:uiPriority w:val="0"/>
    <w:pPr>
      <w:pBdr>
        <w:bottom w:val="thickThinSmallGap" w:color="C00000" w:sz="18" w:space="1"/>
      </w:pBdr>
    </w:pPr>
    <w:rPr>
      <w:color w:val="FFFFFF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2019-12-16T01:47:02Z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